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DFBF" w14:textId="77777777" w:rsidR="002D5569" w:rsidRDefault="002D5569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A5DC" wp14:editId="45F6CC47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15000" cy="4724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720C4" w14:textId="77777777" w:rsidR="002D5569" w:rsidRDefault="002D5569" w:rsidP="002D5569">
                            <w:pPr>
                              <w:spacing w:after="0"/>
                              <w:jc w:val="center"/>
                            </w:pPr>
                            <w:r>
                              <w:t>NIHR GOSH BRC</w:t>
                            </w:r>
                          </w:p>
                          <w:p w14:paraId="6B80D777" w14:textId="77777777" w:rsidR="002D5569" w:rsidRDefault="002D5569" w:rsidP="002D5569">
                            <w:pPr>
                              <w:spacing w:after="0"/>
                              <w:jc w:val="center"/>
                            </w:pPr>
                            <w:r>
                              <w:t>Rare Disease Cross Cutting Theme Exemplar Standard Operating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BA5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8pt;margin-top:1.8pt;width:450pt;height:3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ObkQIAALIFAAAOAAAAZHJzL2Uyb0RvYy54bWysVE1PGzEQvVfqf7B8b3aTJtBGbFAaRFUJ&#10;ASpUnB2vTSxsj2s72U1/PWPvJiSUC1Uvu2PPm6/nmTk7b40mG+GDAlvR4aCkRFgOtbKPFf11f/np&#10;CyUhMlszDVZUdCsCPZ99/HDWuKkYwQp0LTxBJzZMG1fRVYxuWhSBr4RhYQBOWFRK8IZFPPrHovas&#10;Qe9GF6OyPCka8LXzwEUIeHvRKeks+5dS8HgjZRCR6IpibjF/ff4u07eYnbHpo2dupXifBvuHLAxT&#10;FoPuXV2wyMjaq79cGcU9BJBxwMEUIKXiIteA1QzLV9XcrZgTuRYkJ7g9TeH/ueXXm1tPVI1vR4ll&#10;Bp/oXrSRfIOWDBM7jQtTBN05hMUWrxOyvw94mYpupTfpj+UQ1CPP2z23yRnHy8npcFKWqOKoG5+O&#10;xuNMfvFi7XyI3wUYkoSKeny7TCnbXIWIERG6g6RgAbSqL5XW+ZD6RSy0JxuGL61jzhEtjlDakqai&#10;J58nZXZ8pEuu9/ZLzfhTqvLYA560TeFE7qw+rcRQx0SW4laLhNH2p5DIbCbkjRwZ58Lu88zohJJY&#10;0XsMe/xLVu8x7upAixwZbNwbG2XBdywdU1s/7aiVHR5JOqg7ibFdtn2HLKHeYuN46AYvOH6pkOgr&#10;FuIt8zhp2BC4PeINfqQGfB3oJUpW4P+8dZ/wOACopaTBya1o+L1mXlCif1gcja/D1Fsk5sN4cjrC&#10;gz/ULA81dm0WgC2D7Y/ZZTHho96J0oN5wCUzT1FRxSzH2BWNO3ERu32CS4qL+TyDcLgdi1f2zvHk&#10;OtGbGuy+fWDe9Q0ecTSuYTfjbPqqzztssrQwX0eQKg9BIrhjtSceF0Pu036Jpc1zeM6ol1U7ewYA&#10;AP//AwBQSwMEFAAGAAgAAAAhAMZzFgPYAAAABQEAAA8AAABkcnMvZG93bnJldi54bWxMj8FOwzAQ&#10;RO9I/IO1SNyoXZBKGrKpABUunCiI8zZ27ajxOrLdNPw95gTH0Yxm3jSb2Q9iMjH1gRGWCwXCcBd0&#10;zxbh8+PlpgKRMrGmIbBB+DYJNu3lRUO1Dmd+N9MuW1FKONWE4HIeaylT54yntAij4eIdQvSUi4xW&#10;6kjnUu4HeavUSnrquSw4Gs2zM91xd/II2ye7tl1F0W0r3ffT/HV4s6+I11fz4wOIbOb8F4Zf/IIO&#10;bWHahxPrJAaEciQj3K1AFHOtVNF7hPtKgWwb+Z++/QEAAP//AwBQSwECLQAUAAYACAAAACEAtoM4&#10;kv4AAADhAQAAEwAAAAAAAAAAAAAAAAAAAAAAW0NvbnRlbnRfVHlwZXNdLnhtbFBLAQItABQABgAI&#10;AAAAIQA4/SH/1gAAAJQBAAALAAAAAAAAAAAAAAAAAC8BAABfcmVscy8ucmVsc1BLAQItABQABgAI&#10;AAAAIQCAGwObkQIAALIFAAAOAAAAAAAAAAAAAAAAAC4CAABkcnMvZTJvRG9jLnhtbFBLAQItABQA&#10;BgAIAAAAIQDGcxYD2AAAAAUBAAAPAAAAAAAAAAAAAAAAAOsEAABkcnMvZG93bnJldi54bWxQSwUG&#10;AAAAAAQABADzAAAA8AUAAAAA&#10;" fillcolor="white [3201]" strokeweight=".5pt">
                <v:textbox>
                  <w:txbxContent>
                    <w:p w14:paraId="4B0720C4" w14:textId="77777777" w:rsidR="002D5569" w:rsidRDefault="002D5569" w:rsidP="002D5569">
                      <w:pPr>
                        <w:spacing w:after="0"/>
                        <w:jc w:val="center"/>
                      </w:pPr>
                      <w:r>
                        <w:t>NIHR GOSH BRC</w:t>
                      </w:r>
                    </w:p>
                    <w:p w14:paraId="6B80D777" w14:textId="77777777" w:rsidR="002D5569" w:rsidRDefault="002D5569" w:rsidP="002D5569">
                      <w:pPr>
                        <w:spacing w:after="0"/>
                        <w:jc w:val="center"/>
                      </w:pPr>
                      <w:r>
                        <w:t>Rare Disease Cross Cutting Theme Exemplar Standard Operating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D75EF" w14:textId="77777777" w:rsidR="002D5569" w:rsidRDefault="002D5569" w:rsidP="002D5569">
      <w:pPr>
        <w:tabs>
          <w:tab w:val="left" w:pos="1284"/>
        </w:tabs>
        <w:spacing w:after="0"/>
        <w:rPr>
          <w:lang w:val="en-US"/>
        </w:rPr>
      </w:pPr>
    </w:p>
    <w:p w14:paraId="4362199B" w14:textId="77777777" w:rsidR="002D5569" w:rsidRDefault="002D5569" w:rsidP="002D5569">
      <w:pPr>
        <w:tabs>
          <w:tab w:val="left" w:pos="1284"/>
        </w:tabs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5569" w14:paraId="4DB1A7B3" w14:textId="77777777" w:rsidTr="009825CA">
        <w:tc>
          <w:tcPr>
            <w:tcW w:w="9016" w:type="dxa"/>
            <w:gridSpan w:val="2"/>
          </w:tcPr>
          <w:p w14:paraId="257D2999" w14:textId="53247B15" w:rsidR="002D5569" w:rsidRPr="002D5569" w:rsidRDefault="002D5569" w:rsidP="00366324">
            <w:pPr>
              <w:jc w:val="center"/>
              <w:rPr>
                <w:b/>
                <w:lang w:val="en-US"/>
              </w:rPr>
            </w:pPr>
            <w:bookmarkStart w:id="0" w:name="_GoBack"/>
            <w:r w:rsidRPr="002D5569">
              <w:rPr>
                <w:b/>
                <w:lang w:val="en-US"/>
              </w:rPr>
              <w:t xml:space="preserve">Processing of </w:t>
            </w:r>
            <w:r w:rsidR="00BD7321">
              <w:rPr>
                <w:b/>
                <w:lang w:val="en-US"/>
              </w:rPr>
              <w:t xml:space="preserve">urine </w:t>
            </w:r>
            <w:r w:rsidRPr="002D5569">
              <w:rPr>
                <w:b/>
                <w:lang w:val="en-US"/>
              </w:rPr>
              <w:t>SOP</w:t>
            </w:r>
            <w:bookmarkEnd w:id="0"/>
          </w:p>
        </w:tc>
      </w:tr>
      <w:tr w:rsidR="002D5569" w14:paraId="06963CF0" w14:textId="77777777" w:rsidTr="002D5569">
        <w:tc>
          <w:tcPr>
            <w:tcW w:w="4508" w:type="dxa"/>
          </w:tcPr>
          <w:p w14:paraId="337B650E" w14:textId="77777777" w:rsidR="002D5569" w:rsidRDefault="002D5569">
            <w:pPr>
              <w:rPr>
                <w:lang w:val="en-US"/>
              </w:rPr>
            </w:pPr>
            <w:r>
              <w:rPr>
                <w:lang w:val="en-US"/>
              </w:rPr>
              <w:t xml:space="preserve">Version:  </w:t>
            </w:r>
          </w:p>
        </w:tc>
        <w:tc>
          <w:tcPr>
            <w:tcW w:w="4508" w:type="dxa"/>
          </w:tcPr>
          <w:p w14:paraId="1FE09A90" w14:textId="77777777" w:rsidR="002D5569" w:rsidRDefault="002D5569">
            <w:pPr>
              <w:rPr>
                <w:lang w:val="en-US"/>
              </w:rPr>
            </w:pPr>
            <w:r>
              <w:rPr>
                <w:lang w:val="en-US"/>
              </w:rPr>
              <w:t xml:space="preserve">Author: </w:t>
            </w:r>
          </w:p>
        </w:tc>
      </w:tr>
      <w:tr w:rsidR="002D5569" w14:paraId="7845550F" w14:textId="77777777" w:rsidTr="002D5569">
        <w:tc>
          <w:tcPr>
            <w:tcW w:w="4508" w:type="dxa"/>
          </w:tcPr>
          <w:p w14:paraId="4CAC869F" w14:textId="77777777" w:rsidR="002D5569" w:rsidRDefault="002D5569">
            <w:pPr>
              <w:rPr>
                <w:lang w:val="en-US"/>
              </w:rPr>
            </w:pPr>
            <w:r>
              <w:rPr>
                <w:lang w:val="en-US"/>
              </w:rPr>
              <w:t xml:space="preserve">Implementation date: </w:t>
            </w:r>
          </w:p>
        </w:tc>
        <w:tc>
          <w:tcPr>
            <w:tcW w:w="4508" w:type="dxa"/>
          </w:tcPr>
          <w:p w14:paraId="11B56DE3" w14:textId="77777777" w:rsidR="002D5569" w:rsidRDefault="002D5569">
            <w:pPr>
              <w:rPr>
                <w:lang w:val="en-US"/>
              </w:rPr>
            </w:pPr>
            <w:r>
              <w:rPr>
                <w:lang w:val="en-US"/>
              </w:rPr>
              <w:t>Reviewed by:</w:t>
            </w:r>
          </w:p>
        </w:tc>
      </w:tr>
      <w:tr w:rsidR="002D5569" w14:paraId="0ECF3355" w14:textId="77777777" w:rsidTr="002D5569">
        <w:tc>
          <w:tcPr>
            <w:tcW w:w="4508" w:type="dxa"/>
          </w:tcPr>
          <w:p w14:paraId="16DD181D" w14:textId="77777777" w:rsidR="002D5569" w:rsidRDefault="002D5569">
            <w:pPr>
              <w:rPr>
                <w:lang w:val="en-US"/>
              </w:rPr>
            </w:pPr>
            <w:r>
              <w:rPr>
                <w:lang w:val="en-US"/>
              </w:rPr>
              <w:t>Next Review date:</w:t>
            </w:r>
          </w:p>
        </w:tc>
        <w:tc>
          <w:tcPr>
            <w:tcW w:w="4508" w:type="dxa"/>
          </w:tcPr>
          <w:p w14:paraId="3AF2C729" w14:textId="77777777" w:rsidR="002D5569" w:rsidRDefault="002D5569">
            <w:pPr>
              <w:rPr>
                <w:lang w:val="en-US"/>
              </w:rPr>
            </w:pPr>
            <w:r>
              <w:rPr>
                <w:lang w:val="en-US"/>
              </w:rPr>
              <w:t xml:space="preserve">Date Reviewed: </w:t>
            </w:r>
          </w:p>
        </w:tc>
      </w:tr>
    </w:tbl>
    <w:p w14:paraId="3DF109A3" w14:textId="77777777" w:rsidR="00F353CB" w:rsidRDefault="00F353CB" w:rsidP="00DB423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3CB" w14:paraId="4DA6DFA5" w14:textId="77777777" w:rsidTr="00F353CB">
        <w:tc>
          <w:tcPr>
            <w:tcW w:w="9016" w:type="dxa"/>
          </w:tcPr>
          <w:p w14:paraId="630B902C" w14:textId="77777777" w:rsidR="00F353CB" w:rsidRDefault="00F353CB">
            <w:pPr>
              <w:rPr>
                <w:lang w:val="en-US"/>
              </w:rPr>
            </w:pPr>
            <w:r>
              <w:rPr>
                <w:lang w:val="en-US"/>
              </w:rPr>
              <w:t xml:space="preserve">1.0 Purpose </w:t>
            </w:r>
          </w:p>
        </w:tc>
      </w:tr>
    </w:tbl>
    <w:p w14:paraId="15DE99DB" w14:textId="7D3AD3D4" w:rsidR="00D44D63" w:rsidRDefault="00D44D63" w:rsidP="00DB4231">
      <w:pPr>
        <w:spacing w:before="240"/>
        <w:rPr>
          <w:lang w:val="en-US"/>
        </w:rPr>
      </w:pPr>
      <w:r>
        <w:rPr>
          <w:lang w:val="en-US"/>
        </w:rPr>
        <w:t>Standard operating</w:t>
      </w:r>
      <w:r w:rsidR="00394A0D">
        <w:rPr>
          <w:lang w:val="en-US"/>
        </w:rPr>
        <w:t xml:space="preserve"> procedure</w:t>
      </w:r>
      <w:r>
        <w:rPr>
          <w:lang w:val="en-US"/>
        </w:rPr>
        <w:t xml:space="preserve"> to describe the collection</w:t>
      </w:r>
      <w:r w:rsidR="002D5569">
        <w:rPr>
          <w:lang w:val="en-US"/>
        </w:rPr>
        <w:t>,</w:t>
      </w:r>
      <w:r>
        <w:rPr>
          <w:lang w:val="en-US"/>
        </w:rPr>
        <w:t xml:space="preserve"> processing </w:t>
      </w:r>
      <w:r w:rsidR="002D5569">
        <w:rPr>
          <w:lang w:val="en-US"/>
        </w:rPr>
        <w:t xml:space="preserve">and storage of </w:t>
      </w:r>
      <w:r w:rsidR="00BD7321">
        <w:rPr>
          <w:lang w:val="en-US"/>
        </w:rPr>
        <w:t>urine</w:t>
      </w:r>
      <w:r w:rsidR="002D5569">
        <w:rPr>
          <w:lang w:val="en-US"/>
        </w:rPr>
        <w:t xml:space="preserve"> for </w:t>
      </w:r>
      <w:r w:rsidR="00394A0D">
        <w:rPr>
          <w:lang w:val="en-US"/>
        </w:rPr>
        <w:t xml:space="preserve">research in rare </w:t>
      </w:r>
      <w:r w:rsidR="001102F4">
        <w:rPr>
          <w:lang w:val="en-US"/>
        </w:rPr>
        <w:t>diseases</w:t>
      </w:r>
      <w:r w:rsidR="00394A0D">
        <w:rPr>
          <w:lang w:val="en-US"/>
        </w:rPr>
        <w:t xml:space="preserve"> </w:t>
      </w:r>
      <w:r w:rsidR="002D5569">
        <w:rPr>
          <w:lang w:val="en-US"/>
        </w:rPr>
        <w:t xml:space="preserve">research as </w:t>
      </w:r>
      <w:r w:rsidR="00394A0D">
        <w:rPr>
          <w:lang w:val="en-US"/>
        </w:rPr>
        <w:t xml:space="preserve">part of the </w:t>
      </w:r>
      <w:r w:rsidR="002D5569">
        <w:rPr>
          <w:lang w:val="en-US"/>
        </w:rPr>
        <w:t xml:space="preserve">NIHR </w:t>
      </w:r>
      <w:r w:rsidR="00394A0D">
        <w:rPr>
          <w:lang w:val="en-US"/>
        </w:rPr>
        <w:t xml:space="preserve">GOSH BRC. </w:t>
      </w:r>
      <w:r w:rsidR="00A90E1A">
        <w:rPr>
          <w:lang w:val="en-US"/>
        </w:rPr>
        <w:t xml:space="preserve">Urine is able to be collected </w:t>
      </w:r>
      <w:proofErr w:type="spellStart"/>
      <w:proofErr w:type="gramStart"/>
      <w:r w:rsidR="00A90E1A">
        <w:rPr>
          <w:lang w:val="en-US"/>
        </w:rPr>
        <w:t>non</w:t>
      </w:r>
      <w:proofErr w:type="gramEnd"/>
      <w:r w:rsidR="00A90E1A">
        <w:rPr>
          <w:lang w:val="en-US"/>
        </w:rPr>
        <w:t xml:space="preserve"> invasively</w:t>
      </w:r>
      <w:proofErr w:type="spellEnd"/>
      <w:r w:rsidR="00A90E1A">
        <w:rPr>
          <w:lang w:val="en-US"/>
        </w:rPr>
        <w:t xml:space="preserve"> and is easily accessible, making it a good candidate for a bio sample in which you can measure potential biomarkers including metabolites, cells, proteins and nucleic acids. </w:t>
      </w:r>
      <w:r w:rsidR="00D01680">
        <w:rPr>
          <w:lang w:val="en-US"/>
        </w:rPr>
        <w:t xml:space="preserve">Please note this protocol is optimized for NMR analysis of urine metabolomics.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3CB" w14:paraId="67698D6C" w14:textId="77777777" w:rsidTr="00F353CB">
        <w:tc>
          <w:tcPr>
            <w:tcW w:w="9016" w:type="dxa"/>
          </w:tcPr>
          <w:p w14:paraId="17C12307" w14:textId="77777777" w:rsidR="00F353CB" w:rsidRDefault="00F353CB" w:rsidP="001A000F">
            <w:pPr>
              <w:rPr>
                <w:lang w:val="en-US"/>
              </w:rPr>
            </w:pPr>
            <w:r>
              <w:rPr>
                <w:lang w:val="en-US"/>
              </w:rPr>
              <w:t xml:space="preserve">2.0 </w:t>
            </w:r>
            <w:r w:rsidR="001A000F">
              <w:rPr>
                <w:lang w:val="en-US"/>
              </w:rPr>
              <w:t xml:space="preserve">Scope </w:t>
            </w:r>
          </w:p>
        </w:tc>
      </w:tr>
    </w:tbl>
    <w:p w14:paraId="576345D2" w14:textId="29DC2902" w:rsidR="00DB4231" w:rsidRDefault="00DB4231" w:rsidP="00DB4231">
      <w:pPr>
        <w:spacing w:before="240"/>
        <w:rPr>
          <w:lang w:val="en-US"/>
        </w:rPr>
      </w:pPr>
      <w:r>
        <w:rPr>
          <w:lang w:val="en-US"/>
        </w:rPr>
        <w:t xml:space="preserve">This protocol applies to the processing of </w:t>
      </w:r>
      <w:r w:rsidR="00BD7321">
        <w:rPr>
          <w:lang w:val="en-US"/>
        </w:rPr>
        <w:t>urine</w:t>
      </w:r>
      <w:r>
        <w:rPr>
          <w:lang w:val="en-US"/>
        </w:rPr>
        <w:t xml:space="preserve"> in labs with the required skills and equipment to follow this SOP. </w:t>
      </w:r>
    </w:p>
    <w:p w14:paraId="167A5E1C" w14:textId="77777777" w:rsidR="00F51C26" w:rsidRDefault="00DB4231" w:rsidP="00DB4231">
      <w:pPr>
        <w:spacing w:before="240"/>
        <w:rPr>
          <w:lang w:val="en-US"/>
        </w:rPr>
      </w:pPr>
      <w:r>
        <w:rPr>
          <w:lang w:val="en-US"/>
        </w:rPr>
        <w:t xml:space="preserve">General principle of consent, ethical and ethical regulations, data collection, safety and quality control should be adhered to at all times, as per laboratory specific procedures.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1C26" w14:paraId="154D081D" w14:textId="77777777" w:rsidTr="00F51C26">
        <w:tc>
          <w:tcPr>
            <w:tcW w:w="9016" w:type="dxa"/>
          </w:tcPr>
          <w:p w14:paraId="6F792353" w14:textId="77777777" w:rsidR="00F51C26" w:rsidRDefault="00A10D91">
            <w:pPr>
              <w:rPr>
                <w:lang w:val="en-US"/>
              </w:rPr>
            </w:pPr>
            <w:r>
              <w:rPr>
                <w:lang w:val="en-US"/>
              </w:rPr>
              <w:t xml:space="preserve">3.0 </w:t>
            </w:r>
            <w:r w:rsidR="00F51C26">
              <w:rPr>
                <w:lang w:val="en-US"/>
              </w:rPr>
              <w:t xml:space="preserve">Description, Protocol Overview </w:t>
            </w:r>
          </w:p>
        </w:tc>
      </w:tr>
    </w:tbl>
    <w:p w14:paraId="473CF5CF" w14:textId="77777777" w:rsidR="00F51C26" w:rsidRDefault="00F51C26" w:rsidP="00F51C26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F51C26" w14:paraId="38AD479B" w14:textId="77777777" w:rsidTr="00554102">
        <w:tc>
          <w:tcPr>
            <w:tcW w:w="9016" w:type="dxa"/>
            <w:gridSpan w:val="2"/>
          </w:tcPr>
          <w:p w14:paraId="08AEE5A9" w14:textId="77777777" w:rsidR="00F51C26" w:rsidRPr="00A10D91" w:rsidRDefault="00F51C26" w:rsidP="00F51C26">
            <w:pPr>
              <w:rPr>
                <w:b/>
                <w:lang w:val="en-US"/>
              </w:rPr>
            </w:pPr>
            <w:r w:rsidRPr="00A10D91">
              <w:rPr>
                <w:b/>
                <w:lang w:val="en-US"/>
              </w:rPr>
              <w:t xml:space="preserve">Description </w:t>
            </w:r>
          </w:p>
        </w:tc>
      </w:tr>
      <w:tr w:rsidR="00F51C26" w14:paraId="7A9C5589" w14:textId="77777777" w:rsidTr="00D553B5">
        <w:tc>
          <w:tcPr>
            <w:tcW w:w="2552" w:type="dxa"/>
            <w:tcBorders>
              <w:right w:val="nil"/>
            </w:tcBorders>
          </w:tcPr>
          <w:p w14:paraId="6AA0DC86" w14:textId="77777777" w:rsidR="00F51C26" w:rsidRDefault="00866880" w:rsidP="00F51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Biospecimen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464" w:type="dxa"/>
            <w:tcBorders>
              <w:left w:val="nil"/>
            </w:tcBorders>
          </w:tcPr>
          <w:p w14:paraId="3838EB01" w14:textId="1981A30A" w:rsidR="00F51C26" w:rsidRDefault="00BD7321" w:rsidP="00F51C26">
            <w:pPr>
              <w:rPr>
                <w:lang w:val="en-US"/>
              </w:rPr>
            </w:pPr>
            <w:r>
              <w:rPr>
                <w:lang w:val="en-US"/>
              </w:rPr>
              <w:t>Urine</w:t>
            </w:r>
          </w:p>
        </w:tc>
      </w:tr>
      <w:tr w:rsidR="00F51C26" w14:paraId="24062D55" w14:textId="77777777" w:rsidTr="00D553B5">
        <w:tc>
          <w:tcPr>
            <w:tcW w:w="2552" w:type="dxa"/>
            <w:tcBorders>
              <w:right w:val="nil"/>
            </w:tcBorders>
          </w:tcPr>
          <w:p w14:paraId="5A8A503F" w14:textId="77777777" w:rsidR="00F51C26" w:rsidRDefault="00866880" w:rsidP="00F51C26">
            <w:pPr>
              <w:rPr>
                <w:lang w:val="en-US"/>
              </w:rPr>
            </w:pPr>
            <w:r>
              <w:rPr>
                <w:lang w:val="en-US"/>
              </w:rPr>
              <w:t xml:space="preserve">Biological Material </w:t>
            </w:r>
          </w:p>
        </w:tc>
        <w:tc>
          <w:tcPr>
            <w:tcW w:w="6464" w:type="dxa"/>
            <w:tcBorders>
              <w:left w:val="nil"/>
            </w:tcBorders>
          </w:tcPr>
          <w:p w14:paraId="073554E3" w14:textId="4C74AFC4" w:rsidR="00F51C26" w:rsidRDefault="00BD7321" w:rsidP="00F51C26">
            <w:pPr>
              <w:rPr>
                <w:lang w:val="en-US"/>
              </w:rPr>
            </w:pPr>
            <w:r>
              <w:rPr>
                <w:lang w:val="en-US"/>
              </w:rPr>
              <w:t>Urine</w:t>
            </w:r>
          </w:p>
        </w:tc>
      </w:tr>
      <w:tr w:rsidR="00F51C26" w14:paraId="19A297C5" w14:textId="77777777" w:rsidTr="00D553B5">
        <w:tc>
          <w:tcPr>
            <w:tcW w:w="2552" w:type="dxa"/>
            <w:tcBorders>
              <w:right w:val="nil"/>
            </w:tcBorders>
          </w:tcPr>
          <w:p w14:paraId="1C05D772" w14:textId="77777777" w:rsidR="00F51C26" w:rsidRDefault="00866880" w:rsidP="00F51C26">
            <w:pPr>
              <w:rPr>
                <w:lang w:val="en-US"/>
              </w:rPr>
            </w:pPr>
            <w:r>
              <w:rPr>
                <w:lang w:val="en-US"/>
              </w:rPr>
              <w:t xml:space="preserve">Downstream Application </w:t>
            </w:r>
          </w:p>
        </w:tc>
        <w:tc>
          <w:tcPr>
            <w:tcW w:w="6464" w:type="dxa"/>
            <w:tcBorders>
              <w:left w:val="nil"/>
            </w:tcBorders>
          </w:tcPr>
          <w:p w14:paraId="2726E16B" w14:textId="77777777" w:rsidR="00F51C26" w:rsidRPr="00A10D91" w:rsidRDefault="00D553B5" w:rsidP="00F51C26">
            <w:pPr>
              <w:rPr>
                <w:i/>
                <w:lang w:val="en-US"/>
              </w:rPr>
            </w:pPr>
            <w:r w:rsidRPr="00A10D91">
              <w:rPr>
                <w:i/>
                <w:lang w:val="en-US"/>
              </w:rPr>
              <w:t xml:space="preserve">Each study to insert here </w:t>
            </w:r>
          </w:p>
        </w:tc>
      </w:tr>
      <w:tr w:rsidR="00D553B5" w14:paraId="140F785D" w14:textId="77777777" w:rsidTr="00F01EB2">
        <w:tc>
          <w:tcPr>
            <w:tcW w:w="9016" w:type="dxa"/>
            <w:gridSpan w:val="2"/>
          </w:tcPr>
          <w:p w14:paraId="0DA52880" w14:textId="77777777" w:rsidR="00D553B5" w:rsidRPr="00A10D91" w:rsidRDefault="00D553B5" w:rsidP="00F51C26">
            <w:pPr>
              <w:rPr>
                <w:b/>
                <w:lang w:val="en-US"/>
              </w:rPr>
            </w:pPr>
            <w:r w:rsidRPr="00A10D91">
              <w:rPr>
                <w:b/>
                <w:lang w:val="en-US"/>
              </w:rPr>
              <w:t xml:space="preserve">Protocol Overview </w:t>
            </w:r>
          </w:p>
        </w:tc>
      </w:tr>
      <w:tr w:rsidR="00D553B5" w14:paraId="4F8FC46A" w14:textId="77777777" w:rsidTr="00D553B5">
        <w:tc>
          <w:tcPr>
            <w:tcW w:w="2552" w:type="dxa"/>
          </w:tcPr>
          <w:p w14:paraId="308954AA" w14:textId="77777777" w:rsidR="00D553B5" w:rsidRDefault="00D553B5" w:rsidP="00F51C26">
            <w:pPr>
              <w:rPr>
                <w:lang w:val="en-US"/>
              </w:rPr>
            </w:pPr>
            <w:r>
              <w:rPr>
                <w:lang w:val="en-US"/>
              </w:rPr>
              <w:t xml:space="preserve">Collection </w:t>
            </w:r>
          </w:p>
        </w:tc>
        <w:tc>
          <w:tcPr>
            <w:tcW w:w="6464" w:type="dxa"/>
          </w:tcPr>
          <w:p w14:paraId="1F81BF2C" w14:textId="4A9AE688" w:rsidR="00D553B5" w:rsidRPr="00D553B5" w:rsidRDefault="00D553B5" w:rsidP="00DB4231">
            <w:pPr>
              <w:rPr>
                <w:i/>
                <w:lang w:val="en-US"/>
              </w:rPr>
            </w:pPr>
          </w:p>
        </w:tc>
      </w:tr>
      <w:tr w:rsidR="00F51C26" w14:paraId="3DE19F51" w14:textId="77777777" w:rsidTr="00D553B5">
        <w:tc>
          <w:tcPr>
            <w:tcW w:w="2552" w:type="dxa"/>
            <w:tcBorders>
              <w:right w:val="nil"/>
            </w:tcBorders>
          </w:tcPr>
          <w:p w14:paraId="596EF0A5" w14:textId="77777777" w:rsidR="00F51C26" w:rsidRDefault="00866880" w:rsidP="00F51C26">
            <w:pPr>
              <w:rPr>
                <w:lang w:val="en-US"/>
              </w:rPr>
            </w:pPr>
            <w:r>
              <w:rPr>
                <w:lang w:val="en-US"/>
              </w:rPr>
              <w:t xml:space="preserve">Handling </w:t>
            </w:r>
          </w:p>
        </w:tc>
        <w:tc>
          <w:tcPr>
            <w:tcW w:w="6464" w:type="dxa"/>
            <w:tcBorders>
              <w:left w:val="nil"/>
            </w:tcBorders>
          </w:tcPr>
          <w:p w14:paraId="1012D77D" w14:textId="5264EC77" w:rsidR="00F51C26" w:rsidRDefault="006314CC" w:rsidP="00631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precentrifugation</w:t>
            </w:r>
            <w:proofErr w:type="spellEnd"/>
            <w:r>
              <w:rPr>
                <w:lang w:val="en-US"/>
              </w:rPr>
              <w:t xml:space="preserve"> delay of &lt;1</w:t>
            </w:r>
            <w:r w:rsidR="00D553B5">
              <w:rPr>
                <w:lang w:val="en-US"/>
              </w:rPr>
              <w:t xml:space="preserve">h at ambient </w:t>
            </w:r>
            <w:r>
              <w:rPr>
                <w:lang w:val="en-US"/>
              </w:rPr>
              <w:t xml:space="preserve">temp, or &lt;4 h if refrigerated </w:t>
            </w:r>
          </w:p>
        </w:tc>
      </w:tr>
      <w:tr w:rsidR="00866880" w14:paraId="38A8DF07" w14:textId="77777777" w:rsidTr="00D553B5">
        <w:tc>
          <w:tcPr>
            <w:tcW w:w="2552" w:type="dxa"/>
            <w:tcBorders>
              <w:right w:val="nil"/>
            </w:tcBorders>
          </w:tcPr>
          <w:p w14:paraId="13A9B627" w14:textId="77777777" w:rsidR="00866880" w:rsidRDefault="00866880" w:rsidP="00F51C26">
            <w:pPr>
              <w:rPr>
                <w:lang w:val="en-US"/>
              </w:rPr>
            </w:pPr>
            <w:r>
              <w:rPr>
                <w:lang w:val="en-US"/>
              </w:rPr>
              <w:t xml:space="preserve">Processing </w:t>
            </w:r>
          </w:p>
        </w:tc>
        <w:tc>
          <w:tcPr>
            <w:tcW w:w="6464" w:type="dxa"/>
            <w:tcBorders>
              <w:left w:val="nil"/>
            </w:tcBorders>
          </w:tcPr>
          <w:p w14:paraId="70BDB3D5" w14:textId="05501A04" w:rsidR="00866880" w:rsidRDefault="00D553B5" w:rsidP="00BD7321">
            <w:pPr>
              <w:rPr>
                <w:lang w:val="en-US"/>
              </w:rPr>
            </w:pPr>
            <w:r>
              <w:rPr>
                <w:lang w:val="en-US"/>
              </w:rPr>
              <w:t xml:space="preserve">Centrifugation, separation of </w:t>
            </w:r>
            <w:proofErr w:type="spellStart"/>
            <w:r w:rsidR="00BD7321">
              <w:rPr>
                <w:lang w:val="en-US"/>
              </w:rPr>
              <w:t>xxxxxxxxxx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51C26" w14:paraId="5B8C6F5E" w14:textId="77777777" w:rsidTr="00D553B5">
        <w:tc>
          <w:tcPr>
            <w:tcW w:w="2552" w:type="dxa"/>
            <w:tcBorders>
              <w:right w:val="nil"/>
            </w:tcBorders>
          </w:tcPr>
          <w:p w14:paraId="4180D1B4" w14:textId="77777777" w:rsidR="00F51C26" w:rsidRDefault="00F51C26" w:rsidP="00F51C26">
            <w:pPr>
              <w:rPr>
                <w:lang w:val="en-US"/>
              </w:rPr>
            </w:pPr>
            <w:r>
              <w:rPr>
                <w:lang w:val="en-US"/>
              </w:rPr>
              <w:t xml:space="preserve">Storage </w:t>
            </w:r>
          </w:p>
        </w:tc>
        <w:tc>
          <w:tcPr>
            <w:tcW w:w="6464" w:type="dxa"/>
            <w:tcBorders>
              <w:left w:val="nil"/>
            </w:tcBorders>
          </w:tcPr>
          <w:p w14:paraId="05F9CF25" w14:textId="7A56CAAC" w:rsidR="00F51C26" w:rsidRDefault="00BD7321" w:rsidP="00F51C26">
            <w:pPr>
              <w:rPr>
                <w:lang w:val="en-US"/>
              </w:rPr>
            </w:pPr>
            <w:r>
              <w:rPr>
                <w:lang w:val="en-US"/>
              </w:rPr>
              <w:t>Urine</w:t>
            </w:r>
            <w:r w:rsidR="00F51C26">
              <w:rPr>
                <w:lang w:val="en-US"/>
              </w:rPr>
              <w:t xml:space="preserve"> aliquots at -80</w:t>
            </w:r>
          </w:p>
        </w:tc>
      </w:tr>
    </w:tbl>
    <w:p w14:paraId="35995A71" w14:textId="77777777" w:rsidR="00F51C26" w:rsidRDefault="00F51C26" w:rsidP="00F51C26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00F" w14:paraId="5179664C" w14:textId="77777777" w:rsidTr="001A000F">
        <w:tc>
          <w:tcPr>
            <w:tcW w:w="9016" w:type="dxa"/>
          </w:tcPr>
          <w:p w14:paraId="572F6D1A" w14:textId="77777777" w:rsidR="001A000F" w:rsidRDefault="001A000F">
            <w:pPr>
              <w:rPr>
                <w:lang w:val="en-US"/>
              </w:rPr>
            </w:pPr>
            <w:r>
              <w:rPr>
                <w:lang w:val="en-US"/>
              </w:rPr>
              <w:t xml:space="preserve">3.0 Equipment </w:t>
            </w:r>
          </w:p>
        </w:tc>
      </w:tr>
    </w:tbl>
    <w:p w14:paraId="39564202" w14:textId="77777777" w:rsidR="00E26C8A" w:rsidRDefault="00E26C8A" w:rsidP="00E26C8A">
      <w:pPr>
        <w:spacing w:after="0"/>
        <w:rPr>
          <w:lang w:val="en-US"/>
        </w:rPr>
      </w:pPr>
    </w:p>
    <w:p w14:paraId="3D2F1CBF" w14:textId="77777777" w:rsidR="00E26C8A" w:rsidRDefault="00E26C8A">
      <w:pPr>
        <w:rPr>
          <w:lang w:val="en-US"/>
        </w:rPr>
      </w:pPr>
      <w:r>
        <w:rPr>
          <w:lang w:val="en-US"/>
        </w:rPr>
        <w:t xml:space="preserve">3.1 Collection </w:t>
      </w:r>
    </w:p>
    <w:p w14:paraId="536E92F1" w14:textId="5C01FC63" w:rsidR="00E26C8A" w:rsidRDefault="00E26C8A" w:rsidP="00E26C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Collection tube (</w:t>
      </w:r>
      <w:r w:rsidR="006314CC">
        <w:rPr>
          <w:i/>
          <w:lang w:val="en-US"/>
        </w:rPr>
        <w:t>insert type here – should be sterile and</w:t>
      </w:r>
      <w:r w:rsidR="00873810">
        <w:rPr>
          <w:i/>
          <w:lang w:val="en-US"/>
        </w:rPr>
        <w:t xml:space="preserve"> additive free</w:t>
      </w:r>
      <w:r w:rsidR="006314CC">
        <w:rPr>
          <w:i/>
          <w:lang w:val="en-US"/>
        </w:rPr>
        <w:t xml:space="preserve"> </w:t>
      </w:r>
      <w:r>
        <w:rPr>
          <w:lang w:val="en-US"/>
        </w:rPr>
        <w:t>)</w:t>
      </w:r>
    </w:p>
    <w:p w14:paraId="5408134C" w14:textId="77777777" w:rsidR="00E26C8A" w:rsidRDefault="00E26C8A" w:rsidP="00E26C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Specimen beg </w:t>
      </w:r>
    </w:p>
    <w:p w14:paraId="54D92C17" w14:textId="77777777" w:rsidR="00E26C8A" w:rsidRDefault="00E26C8A" w:rsidP="00E26C8A">
      <w:pPr>
        <w:rPr>
          <w:lang w:val="en-US"/>
        </w:rPr>
      </w:pPr>
      <w:r>
        <w:rPr>
          <w:lang w:val="en-US"/>
        </w:rPr>
        <w:t xml:space="preserve">3.2 Processing </w:t>
      </w:r>
    </w:p>
    <w:p w14:paraId="2A7D5442" w14:textId="77777777" w:rsidR="00E26C8A" w:rsidRDefault="00E26C8A" w:rsidP="00E26C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Sterile </w:t>
      </w:r>
      <w:proofErr w:type="spellStart"/>
      <w:r>
        <w:rPr>
          <w:lang w:val="en-US"/>
        </w:rPr>
        <w:t>Eppendorfs</w:t>
      </w:r>
      <w:proofErr w:type="spellEnd"/>
      <w:r>
        <w:rPr>
          <w:lang w:val="en-US"/>
        </w:rPr>
        <w:t xml:space="preserve"> </w:t>
      </w:r>
      <w:r w:rsidR="000B72D9">
        <w:rPr>
          <w:lang w:val="en-US"/>
        </w:rPr>
        <w:t>(</w:t>
      </w:r>
      <w:r w:rsidR="000B72D9" w:rsidRPr="000B72D9">
        <w:rPr>
          <w:i/>
          <w:lang w:val="en-US"/>
        </w:rPr>
        <w:t>insert specific size here</w:t>
      </w:r>
      <w:r w:rsidR="000B72D9">
        <w:rPr>
          <w:lang w:val="en-US"/>
        </w:rPr>
        <w:t>)</w:t>
      </w:r>
    </w:p>
    <w:p w14:paraId="25164304" w14:textId="77777777" w:rsidR="00E26C8A" w:rsidRDefault="00E26C8A" w:rsidP="00E26C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Sterile Category 2 tissue Culture hood </w:t>
      </w:r>
    </w:p>
    <w:p w14:paraId="6215BE87" w14:textId="77777777" w:rsidR="00E26C8A" w:rsidRDefault="00E26C8A" w:rsidP="00E26C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Sterile pipettes and appropriate tubes </w:t>
      </w:r>
    </w:p>
    <w:p w14:paraId="773B2538" w14:textId="3CA0E7F5" w:rsidR="00E26C8A" w:rsidRDefault="00E26C8A" w:rsidP="00E26C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Centrifuge </w:t>
      </w:r>
      <w:r w:rsidR="000B72D9">
        <w:rPr>
          <w:lang w:val="en-US"/>
        </w:rPr>
        <w:t>(</w:t>
      </w:r>
      <w:r w:rsidR="000B72D9" w:rsidRPr="000B72D9">
        <w:rPr>
          <w:i/>
          <w:lang w:val="en-US"/>
        </w:rPr>
        <w:t>insert specifics here</w:t>
      </w:r>
      <w:r w:rsidR="000B72D9">
        <w:rPr>
          <w:lang w:val="en-US"/>
        </w:rPr>
        <w:t>)</w:t>
      </w:r>
    </w:p>
    <w:p w14:paraId="03EF758E" w14:textId="658957A0" w:rsidR="00873810" w:rsidRDefault="00873810" w:rsidP="00E26C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Sterile 10ml Syringe </w:t>
      </w:r>
    </w:p>
    <w:p w14:paraId="60F3848B" w14:textId="08E1BCF5" w:rsidR="00873810" w:rsidRDefault="00873810" w:rsidP="00E26C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Syringe filer (0.2</w:t>
      </w:r>
      <w:r>
        <w:rPr>
          <w:rFonts w:cstheme="minorHAnsi"/>
          <w:lang w:val="en-US"/>
        </w:rPr>
        <w:t>µ</w:t>
      </w:r>
      <w:r>
        <w:rPr>
          <w:lang w:val="en-US"/>
        </w:rPr>
        <w:t>M)</w:t>
      </w:r>
    </w:p>
    <w:p w14:paraId="571AC5B0" w14:textId="610A42C7" w:rsidR="00873810" w:rsidRDefault="00873810" w:rsidP="00E26C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50ml falcon tube </w:t>
      </w:r>
    </w:p>
    <w:p w14:paraId="61B0A3A8" w14:textId="2B46C702" w:rsidR="00873810" w:rsidRPr="00E26C8A" w:rsidRDefault="00873810" w:rsidP="00E26C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Sterile </w:t>
      </w:r>
      <w:proofErr w:type="spellStart"/>
      <w:r>
        <w:rPr>
          <w:lang w:val="en-US"/>
        </w:rPr>
        <w:t>pasteur</w:t>
      </w:r>
      <w:proofErr w:type="spellEnd"/>
      <w:r>
        <w:rPr>
          <w:lang w:val="en-US"/>
        </w:rPr>
        <w:t xml:space="preserve"> pipettes </w:t>
      </w:r>
    </w:p>
    <w:p w14:paraId="00A8973C" w14:textId="3AE319C9" w:rsidR="00DB4231" w:rsidRDefault="00DB423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00F" w14:paraId="4F5A4821" w14:textId="77777777" w:rsidTr="001A000F">
        <w:tc>
          <w:tcPr>
            <w:tcW w:w="9016" w:type="dxa"/>
          </w:tcPr>
          <w:p w14:paraId="5EBE8DFF" w14:textId="77777777" w:rsidR="001A000F" w:rsidRDefault="001A000F">
            <w:pPr>
              <w:rPr>
                <w:lang w:val="en-US"/>
              </w:rPr>
            </w:pPr>
            <w:r>
              <w:rPr>
                <w:lang w:val="en-US"/>
              </w:rPr>
              <w:t xml:space="preserve">4.0 Procedures </w:t>
            </w:r>
          </w:p>
        </w:tc>
      </w:tr>
    </w:tbl>
    <w:p w14:paraId="4D854E44" w14:textId="6C75F737" w:rsidR="00E21776" w:rsidRDefault="00E21776">
      <w:pPr>
        <w:rPr>
          <w:lang w:val="en-US"/>
        </w:rPr>
      </w:pPr>
    </w:p>
    <w:p w14:paraId="40C1A9D8" w14:textId="77777777" w:rsidR="000B72D9" w:rsidRPr="00A648EA" w:rsidRDefault="000B72D9" w:rsidP="00A648EA">
      <w:pPr>
        <w:ind w:left="720" w:hanging="720"/>
        <w:rPr>
          <w:sz w:val="24"/>
          <w:szCs w:val="24"/>
          <w:lang w:val="en-US"/>
        </w:rPr>
      </w:pPr>
      <w:r w:rsidRPr="00A648EA">
        <w:rPr>
          <w:sz w:val="24"/>
          <w:szCs w:val="24"/>
          <w:lang w:val="en-US"/>
        </w:rPr>
        <w:t xml:space="preserve">4.1 Collection </w:t>
      </w:r>
    </w:p>
    <w:p w14:paraId="193CC4AF" w14:textId="68E7A6F3" w:rsidR="00EE7351" w:rsidRDefault="00EE7351" w:rsidP="00EE7351">
      <w:pPr>
        <w:spacing w:after="0"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4.1.1    Aim to collect mid-stream urine, and if possible from the second void of the day (2 – 4 hours post the first morning urine). </w:t>
      </w:r>
    </w:p>
    <w:p w14:paraId="3A9C7518" w14:textId="5BF4B91D" w:rsidR="00EE7351" w:rsidRPr="00E20233" w:rsidRDefault="00EE7351" w:rsidP="00EE7351">
      <w:pPr>
        <w:spacing w:after="0"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4.1.2     </w:t>
      </w:r>
      <w:r w:rsidRPr="00E20233">
        <w:rPr>
          <w:sz w:val="24"/>
          <w:szCs w:val="24"/>
        </w:rPr>
        <w:t xml:space="preserve">The </w:t>
      </w:r>
      <w:r>
        <w:rPr>
          <w:sz w:val="24"/>
          <w:szCs w:val="24"/>
        </w:rPr>
        <w:t>urine collection</w:t>
      </w:r>
      <w:r w:rsidRPr="00E20233">
        <w:rPr>
          <w:sz w:val="24"/>
          <w:szCs w:val="24"/>
        </w:rPr>
        <w:t xml:space="preserve"> tube should be securely closed and inverted 6 – 8 times. The </w:t>
      </w:r>
      <w:r>
        <w:rPr>
          <w:sz w:val="24"/>
          <w:szCs w:val="24"/>
        </w:rPr>
        <w:t xml:space="preserve">urine </w:t>
      </w:r>
      <w:r w:rsidRPr="00E20233">
        <w:rPr>
          <w:sz w:val="24"/>
          <w:szCs w:val="24"/>
        </w:rPr>
        <w:t>tube should then be sealed inside a plastic specimen bag</w:t>
      </w:r>
      <w:r>
        <w:rPr>
          <w:sz w:val="24"/>
          <w:szCs w:val="24"/>
        </w:rPr>
        <w:t>.</w:t>
      </w:r>
    </w:p>
    <w:p w14:paraId="219D5232" w14:textId="77777777" w:rsidR="00EE7351" w:rsidRDefault="00EE7351" w:rsidP="00EE7351">
      <w:pPr>
        <w:pStyle w:val="ListParagraph"/>
        <w:numPr>
          <w:ilvl w:val="2"/>
          <w:numId w:val="13"/>
        </w:numPr>
        <w:spacing w:after="0" w:line="276" w:lineRule="auto"/>
        <w:rPr>
          <w:sz w:val="24"/>
          <w:szCs w:val="24"/>
        </w:rPr>
      </w:pPr>
      <w:r w:rsidRPr="00EE7351">
        <w:rPr>
          <w:sz w:val="24"/>
          <w:szCs w:val="24"/>
        </w:rPr>
        <w:t xml:space="preserve">The person collecting the urine sample should ensure that only the patient’s unique study identity code should be written on the tube itself in permanent black ink. </w:t>
      </w:r>
    </w:p>
    <w:p w14:paraId="609DA09A" w14:textId="0F8FFB03" w:rsidR="000B72D9" w:rsidRPr="00EE7351" w:rsidRDefault="00EE7351" w:rsidP="00EE7351">
      <w:pPr>
        <w:pStyle w:val="ListParagraph"/>
        <w:numPr>
          <w:ilvl w:val="2"/>
          <w:numId w:val="13"/>
        </w:numPr>
        <w:spacing w:after="0" w:line="276" w:lineRule="auto"/>
        <w:rPr>
          <w:sz w:val="24"/>
          <w:szCs w:val="24"/>
        </w:rPr>
      </w:pPr>
      <w:r w:rsidRPr="00EE7351">
        <w:rPr>
          <w:sz w:val="24"/>
          <w:szCs w:val="24"/>
        </w:rPr>
        <w:t xml:space="preserve">The person collecting the urine sample should ensure the study id code, date and time of sample collection are recorded. </w:t>
      </w:r>
    </w:p>
    <w:p w14:paraId="3EE921C6" w14:textId="77777777" w:rsidR="00EE7351" w:rsidRDefault="00EE7351" w:rsidP="00EE7351">
      <w:pPr>
        <w:spacing w:after="0"/>
        <w:ind w:left="720" w:hanging="720"/>
        <w:rPr>
          <w:b/>
          <w:sz w:val="24"/>
          <w:szCs w:val="24"/>
          <w:lang w:val="en-US"/>
        </w:rPr>
      </w:pPr>
    </w:p>
    <w:p w14:paraId="28FBE02B" w14:textId="7B491CF7" w:rsidR="00F905A0" w:rsidRPr="00A648EA" w:rsidRDefault="003420C8" w:rsidP="00A648EA">
      <w:pPr>
        <w:ind w:left="720" w:hanging="720"/>
        <w:rPr>
          <w:b/>
          <w:sz w:val="24"/>
          <w:szCs w:val="24"/>
          <w:lang w:val="en-US"/>
        </w:rPr>
      </w:pPr>
      <w:r w:rsidRPr="00A648EA">
        <w:rPr>
          <w:b/>
          <w:sz w:val="24"/>
          <w:szCs w:val="24"/>
          <w:lang w:val="en-US"/>
        </w:rPr>
        <w:t xml:space="preserve">4.2 Processing Procedure </w:t>
      </w:r>
    </w:p>
    <w:p w14:paraId="6E9EE83E" w14:textId="77E99E87" w:rsidR="00873810" w:rsidRPr="00A648EA" w:rsidRDefault="00F905A0" w:rsidP="00A648E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A648EA">
        <w:rPr>
          <w:rFonts w:cstheme="minorHAnsi"/>
          <w:sz w:val="24"/>
          <w:szCs w:val="24"/>
        </w:rPr>
        <w:t xml:space="preserve">4.2.1 </w:t>
      </w:r>
      <w:r w:rsidR="00EE7351">
        <w:rPr>
          <w:rFonts w:cstheme="minorHAnsi"/>
          <w:sz w:val="24"/>
          <w:szCs w:val="24"/>
        </w:rPr>
        <w:t xml:space="preserve">   </w:t>
      </w:r>
      <w:r w:rsidR="00873810" w:rsidRPr="00A648EA">
        <w:rPr>
          <w:rFonts w:cstheme="minorHAnsi"/>
          <w:sz w:val="24"/>
          <w:szCs w:val="24"/>
        </w:rPr>
        <w:t>Record the time of sample arrival to the lab and the time processing started on the data collection form.</w:t>
      </w:r>
    </w:p>
    <w:p w14:paraId="0B22D296" w14:textId="6B364E12" w:rsidR="00873810" w:rsidRPr="00A648EA" w:rsidRDefault="00A648EA" w:rsidP="00A648E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4.2.2</w:t>
      </w:r>
      <w:r w:rsidR="00EE7351">
        <w:rPr>
          <w:rFonts w:cstheme="minorHAnsi"/>
          <w:sz w:val="24"/>
          <w:szCs w:val="24"/>
        </w:rPr>
        <w:t xml:space="preserve">   </w:t>
      </w:r>
      <w:r w:rsidR="00873810" w:rsidRPr="00A648EA">
        <w:rPr>
          <w:rFonts w:cstheme="minorHAnsi"/>
          <w:sz w:val="24"/>
          <w:szCs w:val="24"/>
        </w:rPr>
        <w:t xml:space="preserve"> The sample is spun cooled (4 °C) for 15 minutes at 2500rpm (600 x g) using a micro-  centrifuge.</w:t>
      </w:r>
    </w:p>
    <w:p w14:paraId="2714ECED" w14:textId="17651B0F" w:rsidR="00873810" w:rsidRPr="00A648EA" w:rsidRDefault="00A648EA" w:rsidP="00A648E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4.2.3</w:t>
      </w:r>
      <w:r w:rsidR="00873810" w:rsidRPr="00A648EA">
        <w:rPr>
          <w:rFonts w:cstheme="minorHAnsi"/>
          <w:sz w:val="24"/>
          <w:szCs w:val="24"/>
        </w:rPr>
        <w:t xml:space="preserve"> </w:t>
      </w:r>
      <w:r w:rsidR="00EE7351">
        <w:rPr>
          <w:rFonts w:cstheme="minorHAnsi"/>
          <w:sz w:val="24"/>
          <w:szCs w:val="24"/>
        </w:rPr>
        <w:t xml:space="preserve">   </w:t>
      </w:r>
      <w:r w:rsidR="00873810" w:rsidRPr="00A648EA">
        <w:rPr>
          <w:rFonts w:cstheme="minorHAnsi"/>
          <w:sz w:val="24"/>
          <w:szCs w:val="24"/>
        </w:rPr>
        <w:t>Filter through a 0.2μM filter attached to a 10ml syringe into a sterile 50ml falcon tube.</w:t>
      </w:r>
    </w:p>
    <w:p w14:paraId="0D4A43E7" w14:textId="70E40600" w:rsidR="00873810" w:rsidRPr="00A648EA" w:rsidRDefault="00A648EA" w:rsidP="00A648E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4.2.4</w:t>
      </w:r>
      <w:r w:rsidR="00873810" w:rsidRPr="00A648EA">
        <w:rPr>
          <w:rFonts w:cstheme="minorHAnsi"/>
          <w:sz w:val="24"/>
          <w:szCs w:val="24"/>
        </w:rPr>
        <w:t xml:space="preserve"> </w:t>
      </w:r>
      <w:r w:rsidR="00EE7351">
        <w:rPr>
          <w:rFonts w:cstheme="minorHAnsi"/>
          <w:sz w:val="24"/>
          <w:szCs w:val="24"/>
        </w:rPr>
        <w:t xml:space="preserve">   </w:t>
      </w:r>
      <w:r w:rsidR="00873810" w:rsidRPr="00A648EA">
        <w:rPr>
          <w:rFonts w:cstheme="minorHAnsi"/>
          <w:sz w:val="24"/>
          <w:szCs w:val="24"/>
        </w:rPr>
        <w:t xml:space="preserve">Aliquot 1ml using a Pasteur pipette into 1.5ml sterile </w:t>
      </w:r>
      <w:proofErr w:type="spellStart"/>
      <w:r w:rsidR="00873810" w:rsidRPr="00A648EA">
        <w:rPr>
          <w:rFonts w:cstheme="minorHAnsi"/>
          <w:sz w:val="24"/>
          <w:szCs w:val="24"/>
        </w:rPr>
        <w:t>eppendorfs</w:t>
      </w:r>
      <w:proofErr w:type="spellEnd"/>
      <w:r w:rsidR="00873810" w:rsidRPr="00A648EA">
        <w:rPr>
          <w:rFonts w:cstheme="minorHAnsi"/>
          <w:sz w:val="24"/>
          <w:szCs w:val="24"/>
        </w:rPr>
        <w:t xml:space="preserve"> (maximum 6 aliquots) that have been labelled with the patient code, date and sample type and time point</w:t>
      </w:r>
      <w:r>
        <w:rPr>
          <w:rFonts w:cstheme="minorHAnsi"/>
          <w:sz w:val="24"/>
          <w:szCs w:val="24"/>
        </w:rPr>
        <w:t xml:space="preserve">. </w:t>
      </w:r>
    </w:p>
    <w:p w14:paraId="7F3B37DF" w14:textId="0AF4AE5D" w:rsidR="00873810" w:rsidRPr="00A648EA" w:rsidRDefault="00A648EA" w:rsidP="00A648E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4.2.5</w:t>
      </w:r>
      <w:r w:rsidR="00873810" w:rsidRPr="00A648EA">
        <w:rPr>
          <w:rFonts w:cstheme="minorHAnsi"/>
          <w:sz w:val="24"/>
          <w:szCs w:val="24"/>
        </w:rPr>
        <w:t xml:space="preserve"> </w:t>
      </w:r>
      <w:r w:rsidR="00EE7351">
        <w:rPr>
          <w:rFonts w:cstheme="minorHAnsi"/>
          <w:sz w:val="24"/>
          <w:szCs w:val="24"/>
        </w:rPr>
        <w:t xml:space="preserve">   </w:t>
      </w:r>
      <w:r w:rsidR="00873810" w:rsidRPr="00A648EA">
        <w:rPr>
          <w:rFonts w:cstheme="minorHAnsi"/>
          <w:sz w:val="24"/>
          <w:szCs w:val="24"/>
        </w:rPr>
        <w:t>The processor should ensure that no patient identifiable data is written on study tubes.</w:t>
      </w:r>
    </w:p>
    <w:p w14:paraId="26B53BB7" w14:textId="7FA29156" w:rsidR="007719E4" w:rsidRPr="00A648EA" w:rsidRDefault="00A648EA" w:rsidP="00A648EA">
      <w:pPr>
        <w:spacing w:after="0" w:line="276" w:lineRule="auto"/>
        <w:ind w:left="720" w:hanging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4.2.6</w:t>
      </w:r>
      <w:r w:rsidR="00873810" w:rsidRPr="00A648EA">
        <w:rPr>
          <w:rFonts w:cstheme="minorHAnsi"/>
          <w:sz w:val="24"/>
          <w:szCs w:val="24"/>
        </w:rPr>
        <w:t xml:space="preserve"> </w:t>
      </w:r>
      <w:r w:rsidR="00EE7351">
        <w:rPr>
          <w:rFonts w:cstheme="minorHAnsi"/>
          <w:sz w:val="24"/>
          <w:szCs w:val="24"/>
        </w:rPr>
        <w:t xml:space="preserve">   </w:t>
      </w:r>
      <w:r w:rsidR="00873810" w:rsidRPr="00A648EA">
        <w:rPr>
          <w:rFonts w:cstheme="minorHAnsi"/>
          <w:sz w:val="24"/>
          <w:szCs w:val="24"/>
        </w:rPr>
        <w:t xml:space="preserve">The number and volume of aliquots should be recorded. </w:t>
      </w:r>
    </w:p>
    <w:p w14:paraId="4AE54729" w14:textId="77777777" w:rsidR="007719E4" w:rsidRPr="00A648EA" w:rsidRDefault="007719E4" w:rsidP="00A648EA">
      <w:pPr>
        <w:pStyle w:val="EndnoteText"/>
        <w:spacing w:line="276" w:lineRule="auto"/>
        <w:ind w:left="720" w:hanging="720"/>
        <w:rPr>
          <w:sz w:val="24"/>
          <w:szCs w:val="24"/>
          <w:lang w:val="en-GB"/>
        </w:rPr>
      </w:pPr>
    </w:p>
    <w:p w14:paraId="04A5249C" w14:textId="68303967" w:rsidR="00F905A0" w:rsidRPr="00A648EA" w:rsidRDefault="00F905A0" w:rsidP="00A648EA">
      <w:pPr>
        <w:pStyle w:val="EndnoteText"/>
        <w:spacing w:line="276" w:lineRule="auto"/>
        <w:ind w:left="720" w:hanging="720"/>
        <w:rPr>
          <w:b/>
          <w:sz w:val="24"/>
          <w:szCs w:val="24"/>
          <w:lang w:val="en-GB"/>
        </w:rPr>
      </w:pPr>
      <w:r w:rsidRPr="00A648EA">
        <w:rPr>
          <w:b/>
          <w:sz w:val="24"/>
          <w:szCs w:val="24"/>
          <w:lang w:val="en-GB"/>
        </w:rPr>
        <w:t xml:space="preserve">4.3 Storage Procedure </w:t>
      </w:r>
    </w:p>
    <w:p w14:paraId="4851896E" w14:textId="1D9ECFD8" w:rsidR="000B72D9" w:rsidRPr="00A648EA" w:rsidRDefault="00F905A0" w:rsidP="00A648EA">
      <w:pPr>
        <w:pStyle w:val="EndnoteText"/>
        <w:spacing w:line="276" w:lineRule="auto"/>
        <w:ind w:left="720" w:hanging="720"/>
        <w:rPr>
          <w:sz w:val="24"/>
          <w:szCs w:val="24"/>
          <w:lang w:val="en-GB"/>
        </w:rPr>
      </w:pPr>
      <w:r w:rsidRPr="00A648EA">
        <w:rPr>
          <w:sz w:val="24"/>
          <w:szCs w:val="24"/>
          <w:lang w:val="en-GB"/>
        </w:rPr>
        <w:t>4.</w:t>
      </w:r>
      <w:r w:rsidR="007719E4" w:rsidRPr="00A648EA">
        <w:rPr>
          <w:sz w:val="24"/>
          <w:szCs w:val="24"/>
          <w:lang w:val="en-GB"/>
        </w:rPr>
        <w:t xml:space="preserve">3.1    </w:t>
      </w:r>
      <w:r w:rsidRPr="00A648EA">
        <w:rPr>
          <w:sz w:val="24"/>
          <w:szCs w:val="24"/>
          <w:lang w:val="en-GB"/>
        </w:rPr>
        <w:t xml:space="preserve">Samples should be immediately placed in a -80°C freezer and both location and time </w:t>
      </w:r>
      <w:proofErr w:type="gramStart"/>
      <w:r w:rsidRPr="00A648EA">
        <w:rPr>
          <w:sz w:val="24"/>
          <w:szCs w:val="24"/>
          <w:lang w:val="en-GB"/>
        </w:rPr>
        <w:t>to</w:t>
      </w:r>
      <w:proofErr w:type="gramEnd"/>
      <w:r w:rsidRPr="00A648EA">
        <w:rPr>
          <w:sz w:val="24"/>
          <w:szCs w:val="24"/>
          <w:lang w:val="en-GB"/>
        </w:rPr>
        <w:t xml:space="preserve"> freezer recorded</w:t>
      </w:r>
      <w:r w:rsidR="007719E4" w:rsidRPr="00A648EA">
        <w:rPr>
          <w:sz w:val="24"/>
          <w:szCs w:val="24"/>
          <w:lang w:val="en-GB"/>
        </w:rPr>
        <w:t xml:space="preserve">. </w:t>
      </w:r>
    </w:p>
    <w:p w14:paraId="778DCFD2" w14:textId="77777777" w:rsidR="00F905A0" w:rsidRPr="00F905A0" w:rsidRDefault="00F905A0" w:rsidP="00F905A0">
      <w:pPr>
        <w:pStyle w:val="EndnoteText"/>
        <w:spacing w:line="276" w:lineRule="auto"/>
        <w:ind w:left="720" w:hanging="72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00F" w14:paraId="00A39BC3" w14:textId="77777777" w:rsidTr="001A000F">
        <w:tc>
          <w:tcPr>
            <w:tcW w:w="9016" w:type="dxa"/>
          </w:tcPr>
          <w:p w14:paraId="7B121B05" w14:textId="77777777" w:rsidR="001A000F" w:rsidRDefault="001A000F">
            <w:pPr>
              <w:rPr>
                <w:lang w:val="en-US"/>
              </w:rPr>
            </w:pPr>
            <w:r>
              <w:rPr>
                <w:lang w:val="en-US"/>
              </w:rPr>
              <w:t xml:space="preserve">5.0 Related Paperwork and Additional SOPs. </w:t>
            </w:r>
          </w:p>
        </w:tc>
      </w:tr>
    </w:tbl>
    <w:p w14:paraId="1F9B2E95" w14:textId="77777777" w:rsidR="001A000F" w:rsidRDefault="001A000F" w:rsidP="00F905A0">
      <w:pPr>
        <w:spacing w:after="0"/>
        <w:rPr>
          <w:lang w:val="en-US"/>
        </w:rPr>
      </w:pPr>
    </w:p>
    <w:p w14:paraId="05517DE2" w14:textId="77777777" w:rsidR="00F905A0" w:rsidRPr="00F905A0" w:rsidRDefault="00F905A0" w:rsidP="00F905A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Health and safety, as per laboratory. </w:t>
      </w:r>
    </w:p>
    <w:p w14:paraId="1F56BA16" w14:textId="7BE48ACE" w:rsidR="006C6033" w:rsidRDefault="00F905A0" w:rsidP="00F905A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Data collection form </w:t>
      </w:r>
    </w:p>
    <w:p w14:paraId="5D2DA68F" w14:textId="77777777" w:rsidR="006C6033" w:rsidRPr="006C6033" w:rsidRDefault="006C6033">
      <w:pPr>
        <w:rPr>
          <w:lang w:val="en-US"/>
        </w:rPr>
      </w:pPr>
    </w:p>
    <w:sectPr w:rsidR="006C6033" w:rsidRPr="006C60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E93C" w14:textId="77777777" w:rsidR="00A37C37" w:rsidRDefault="00A37C37" w:rsidP="00A37C37">
      <w:pPr>
        <w:spacing w:after="0" w:line="240" w:lineRule="auto"/>
      </w:pPr>
      <w:r>
        <w:separator/>
      </w:r>
    </w:p>
  </w:endnote>
  <w:endnote w:type="continuationSeparator" w:id="0">
    <w:p w14:paraId="57CC0DBB" w14:textId="77777777" w:rsidR="00A37C37" w:rsidRDefault="00A37C37" w:rsidP="00A3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390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5346A" w14:textId="59CA6D40" w:rsidR="00F905A0" w:rsidRDefault="00F905A0" w:rsidP="00F905A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32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NIHR GOSH BRC Rare Disease exemplar SOP – SERUM </w:t>
        </w:r>
      </w:p>
      <w:p w14:paraId="344FD4F7" w14:textId="6DBC3113" w:rsidR="00F905A0" w:rsidRDefault="00366324" w:rsidP="00F905A0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F9EA" w14:textId="77777777" w:rsidR="00A37C37" w:rsidRDefault="00A37C37" w:rsidP="00A37C37">
      <w:pPr>
        <w:spacing w:after="0" w:line="240" w:lineRule="auto"/>
      </w:pPr>
      <w:r>
        <w:separator/>
      </w:r>
    </w:p>
  </w:footnote>
  <w:footnote w:type="continuationSeparator" w:id="0">
    <w:p w14:paraId="614A6873" w14:textId="77777777" w:rsidR="00A37C37" w:rsidRDefault="00A37C37" w:rsidP="00A3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1E52" w14:textId="77777777" w:rsidR="00A37C37" w:rsidRDefault="00A37C37">
    <w:pPr>
      <w:pStyle w:val="Header"/>
    </w:pPr>
    <w:r>
      <w:t xml:space="preserve">Put logo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D54"/>
    <w:multiLevelType w:val="multilevel"/>
    <w:tmpl w:val="D66A3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5.2.4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A05A0C"/>
    <w:multiLevelType w:val="multilevel"/>
    <w:tmpl w:val="B1FEE7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764672"/>
    <w:multiLevelType w:val="hybridMultilevel"/>
    <w:tmpl w:val="9EE4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6A5B"/>
    <w:multiLevelType w:val="multilevel"/>
    <w:tmpl w:val="02A49316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461A9B"/>
    <w:multiLevelType w:val="multilevel"/>
    <w:tmpl w:val="A42EEF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A520B"/>
    <w:multiLevelType w:val="multilevel"/>
    <w:tmpl w:val="7FD6A3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B2132F"/>
    <w:multiLevelType w:val="multilevel"/>
    <w:tmpl w:val="1C0A34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5.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2B3656C"/>
    <w:multiLevelType w:val="multilevel"/>
    <w:tmpl w:val="B360E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1138B1"/>
    <w:multiLevelType w:val="hybridMultilevel"/>
    <w:tmpl w:val="2DDC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313E7"/>
    <w:multiLevelType w:val="multilevel"/>
    <w:tmpl w:val="D0E0C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8F30FB"/>
    <w:multiLevelType w:val="hybridMultilevel"/>
    <w:tmpl w:val="75F0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28E0"/>
    <w:multiLevelType w:val="multilevel"/>
    <w:tmpl w:val="84C4CF66"/>
    <w:lvl w:ilvl="0">
      <w:start w:val="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214F1F"/>
    <w:multiLevelType w:val="multilevel"/>
    <w:tmpl w:val="3B7EAE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3"/>
    <w:rsid w:val="00010BF1"/>
    <w:rsid w:val="0003362B"/>
    <w:rsid w:val="000363F6"/>
    <w:rsid w:val="00044CF1"/>
    <w:rsid w:val="00056C7B"/>
    <w:rsid w:val="00062117"/>
    <w:rsid w:val="000B282F"/>
    <w:rsid w:val="000B72D9"/>
    <w:rsid w:val="000E6BB9"/>
    <w:rsid w:val="00100FCB"/>
    <w:rsid w:val="001037D2"/>
    <w:rsid w:val="001102F4"/>
    <w:rsid w:val="0011403A"/>
    <w:rsid w:val="0012435F"/>
    <w:rsid w:val="0012472B"/>
    <w:rsid w:val="001277F4"/>
    <w:rsid w:val="001315E3"/>
    <w:rsid w:val="00137EEB"/>
    <w:rsid w:val="00142B2C"/>
    <w:rsid w:val="00143C0C"/>
    <w:rsid w:val="001504DB"/>
    <w:rsid w:val="00150CD2"/>
    <w:rsid w:val="00155457"/>
    <w:rsid w:val="0016628D"/>
    <w:rsid w:val="001666A0"/>
    <w:rsid w:val="00187FA3"/>
    <w:rsid w:val="001A000F"/>
    <w:rsid w:val="001D3130"/>
    <w:rsid w:val="001E189D"/>
    <w:rsid w:val="002037C0"/>
    <w:rsid w:val="00216085"/>
    <w:rsid w:val="00246DE4"/>
    <w:rsid w:val="0024786D"/>
    <w:rsid w:val="00260299"/>
    <w:rsid w:val="00283EF5"/>
    <w:rsid w:val="00286E58"/>
    <w:rsid w:val="002932C6"/>
    <w:rsid w:val="002B231D"/>
    <w:rsid w:val="002B2664"/>
    <w:rsid w:val="002D5569"/>
    <w:rsid w:val="002D5A7D"/>
    <w:rsid w:val="002F000C"/>
    <w:rsid w:val="00337699"/>
    <w:rsid w:val="0034058B"/>
    <w:rsid w:val="0034200A"/>
    <w:rsid w:val="003420C8"/>
    <w:rsid w:val="003629F5"/>
    <w:rsid w:val="00366324"/>
    <w:rsid w:val="00394A0D"/>
    <w:rsid w:val="00395DB9"/>
    <w:rsid w:val="0039616C"/>
    <w:rsid w:val="003A01DE"/>
    <w:rsid w:val="003A347B"/>
    <w:rsid w:val="003A3C17"/>
    <w:rsid w:val="003C08EE"/>
    <w:rsid w:val="00401053"/>
    <w:rsid w:val="00407DF3"/>
    <w:rsid w:val="00413172"/>
    <w:rsid w:val="004260EC"/>
    <w:rsid w:val="004711CB"/>
    <w:rsid w:val="0048185A"/>
    <w:rsid w:val="004819B0"/>
    <w:rsid w:val="0049148A"/>
    <w:rsid w:val="004A0E9C"/>
    <w:rsid w:val="004B0015"/>
    <w:rsid w:val="004B1701"/>
    <w:rsid w:val="004B5845"/>
    <w:rsid w:val="004C23FD"/>
    <w:rsid w:val="004D078F"/>
    <w:rsid w:val="004E47EE"/>
    <w:rsid w:val="004F0F1A"/>
    <w:rsid w:val="004F2249"/>
    <w:rsid w:val="004F5497"/>
    <w:rsid w:val="0050551D"/>
    <w:rsid w:val="005315F9"/>
    <w:rsid w:val="00546ED2"/>
    <w:rsid w:val="00552790"/>
    <w:rsid w:val="005537EA"/>
    <w:rsid w:val="00554102"/>
    <w:rsid w:val="00557F2B"/>
    <w:rsid w:val="0056101D"/>
    <w:rsid w:val="0056436E"/>
    <w:rsid w:val="005C00B0"/>
    <w:rsid w:val="005C0404"/>
    <w:rsid w:val="005D03EA"/>
    <w:rsid w:val="005D2989"/>
    <w:rsid w:val="005E2BD4"/>
    <w:rsid w:val="005E7AC6"/>
    <w:rsid w:val="006013BB"/>
    <w:rsid w:val="0061000D"/>
    <w:rsid w:val="00626101"/>
    <w:rsid w:val="006314CC"/>
    <w:rsid w:val="00645653"/>
    <w:rsid w:val="0064785A"/>
    <w:rsid w:val="00650E51"/>
    <w:rsid w:val="00655CE3"/>
    <w:rsid w:val="0066192F"/>
    <w:rsid w:val="00671C3B"/>
    <w:rsid w:val="006733FB"/>
    <w:rsid w:val="0068032C"/>
    <w:rsid w:val="00697342"/>
    <w:rsid w:val="006A6208"/>
    <w:rsid w:val="006B1D7E"/>
    <w:rsid w:val="006C6033"/>
    <w:rsid w:val="006C620B"/>
    <w:rsid w:val="006C74C4"/>
    <w:rsid w:val="006C7727"/>
    <w:rsid w:val="006C7E45"/>
    <w:rsid w:val="006D5667"/>
    <w:rsid w:val="006E1781"/>
    <w:rsid w:val="006E1F34"/>
    <w:rsid w:val="006F2F73"/>
    <w:rsid w:val="006F4803"/>
    <w:rsid w:val="006F53AA"/>
    <w:rsid w:val="006F556E"/>
    <w:rsid w:val="006F6F2C"/>
    <w:rsid w:val="007013C4"/>
    <w:rsid w:val="007340FB"/>
    <w:rsid w:val="007418C0"/>
    <w:rsid w:val="00741CDF"/>
    <w:rsid w:val="007638D0"/>
    <w:rsid w:val="00770911"/>
    <w:rsid w:val="007719E4"/>
    <w:rsid w:val="007813F2"/>
    <w:rsid w:val="00796752"/>
    <w:rsid w:val="00796CA5"/>
    <w:rsid w:val="00797448"/>
    <w:rsid w:val="007C23E3"/>
    <w:rsid w:val="007C3F13"/>
    <w:rsid w:val="007D6F2B"/>
    <w:rsid w:val="008016E3"/>
    <w:rsid w:val="0081066B"/>
    <w:rsid w:val="00810A45"/>
    <w:rsid w:val="008176B8"/>
    <w:rsid w:val="00821A5B"/>
    <w:rsid w:val="008361EC"/>
    <w:rsid w:val="008509B9"/>
    <w:rsid w:val="00862AED"/>
    <w:rsid w:val="008638CA"/>
    <w:rsid w:val="008647BF"/>
    <w:rsid w:val="00866880"/>
    <w:rsid w:val="00873810"/>
    <w:rsid w:val="00874FFF"/>
    <w:rsid w:val="008A0041"/>
    <w:rsid w:val="008C0263"/>
    <w:rsid w:val="008D0E16"/>
    <w:rsid w:val="008D5C60"/>
    <w:rsid w:val="008E17E3"/>
    <w:rsid w:val="008F00EB"/>
    <w:rsid w:val="008F469A"/>
    <w:rsid w:val="008F7159"/>
    <w:rsid w:val="00903A9B"/>
    <w:rsid w:val="00903AD2"/>
    <w:rsid w:val="0093243E"/>
    <w:rsid w:val="00946E39"/>
    <w:rsid w:val="00947971"/>
    <w:rsid w:val="00950782"/>
    <w:rsid w:val="00971C5A"/>
    <w:rsid w:val="00982DC3"/>
    <w:rsid w:val="00992A6D"/>
    <w:rsid w:val="00996573"/>
    <w:rsid w:val="009A69A6"/>
    <w:rsid w:val="009C0EAC"/>
    <w:rsid w:val="009D0881"/>
    <w:rsid w:val="009F71C2"/>
    <w:rsid w:val="00A01D68"/>
    <w:rsid w:val="00A02719"/>
    <w:rsid w:val="00A02791"/>
    <w:rsid w:val="00A10D91"/>
    <w:rsid w:val="00A13972"/>
    <w:rsid w:val="00A16349"/>
    <w:rsid w:val="00A240CA"/>
    <w:rsid w:val="00A251CA"/>
    <w:rsid w:val="00A37C37"/>
    <w:rsid w:val="00A407F7"/>
    <w:rsid w:val="00A43141"/>
    <w:rsid w:val="00A449BE"/>
    <w:rsid w:val="00A54454"/>
    <w:rsid w:val="00A578D0"/>
    <w:rsid w:val="00A60096"/>
    <w:rsid w:val="00A648EA"/>
    <w:rsid w:val="00A90E1A"/>
    <w:rsid w:val="00A978A1"/>
    <w:rsid w:val="00AB7152"/>
    <w:rsid w:val="00AD500F"/>
    <w:rsid w:val="00AE4F98"/>
    <w:rsid w:val="00AE65B2"/>
    <w:rsid w:val="00AF2337"/>
    <w:rsid w:val="00B05A5F"/>
    <w:rsid w:val="00B11BB3"/>
    <w:rsid w:val="00B1293C"/>
    <w:rsid w:val="00B23D63"/>
    <w:rsid w:val="00B318B6"/>
    <w:rsid w:val="00B37C90"/>
    <w:rsid w:val="00B43625"/>
    <w:rsid w:val="00B44700"/>
    <w:rsid w:val="00BA0A38"/>
    <w:rsid w:val="00BA2693"/>
    <w:rsid w:val="00BB3EDD"/>
    <w:rsid w:val="00BC636C"/>
    <w:rsid w:val="00BD7321"/>
    <w:rsid w:val="00BE775E"/>
    <w:rsid w:val="00BF4FEB"/>
    <w:rsid w:val="00C05710"/>
    <w:rsid w:val="00C131B0"/>
    <w:rsid w:val="00C20B68"/>
    <w:rsid w:val="00C25F7A"/>
    <w:rsid w:val="00C26D1D"/>
    <w:rsid w:val="00C27490"/>
    <w:rsid w:val="00C32973"/>
    <w:rsid w:val="00C3412C"/>
    <w:rsid w:val="00C5407D"/>
    <w:rsid w:val="00C83D11"/>
    <w:rsid w:val="00C86A33"/>
    <w:rsid w:val="00C9723A"/>
    <w:rsid w:val="00C978C4"/>
    <w:rsid w:val="00CC4C57"/>
    <w:rsid w:val="00CD163E"/>
    <w:rsid w:val="00CE3B82"/>
    <w:rsid w:val="00CE6504"/>
    <w:rsid w:val="00CE6733"/>
    <w:rsid w:val="00CF2D23"/>
    <w:rsid w:val="00CF7B48"/>
    <w:rsid w:val="00D01680"/>
    <w:rsid w:val="00D10ABD"/>
    <w:rsid w:val="00D115CE"/>
    <w:rsid w:val="00D34337"/>
    <w:rsid w:val="00D37323"/>
    <w:rsid w:val="00D44D63"/>
    <w:rsid w:val="00D553B5"/>
    <w:rsid w:val="00D66199"/>
    <w:rsid w:val="00D82436"/>
    <w:rsid w:val="00D82A00"/>
    <w:rsid w:val="00D927E9"/>
    <w:rsid w:val="00DB4231"/>
    <w:rsid w:val="00DC1790"/>
    <w:rsid w:val="00DD13C0"/>
    <w:rsid w:val="00DE0688"/>
    <w:rsid w:val="00DE753E"/>
    <w:rsid w:val="00E03646"/>
    <w:rsid w:val="00E11308"/>
    <w:rsid w:val="00E13883"/>
    <w:rsid w:val="00E21776"/>
    <w:rsid w:val="00E265F2"/>
    <w:rsid w:val="00E26C8A"/>
    <w:rsid w:val="00E735EA"/>
    <w:rsid w:val="00E84C1B"/>
    <w:rsid w:val="00E871B5"/>
    <w:rsid w:val="00E91E82"/>
    <w:rsid w:val="00EA3B0B"/>
    <w:rsid w:val="00EA4EAA"/>
    <w:rsid w:val="00EB0CB2"/>
    <w:rsid w:val="00EB2A75"/>
    <w:rsid w:val="00EE340F"/>
    <w:rsid w:val="00EE7351"/>
    <w:rsid w:val="00EE77FA"/>
    <w:rsid w:val="00EF1034"/>
    <w:rsid w:val="00EF3E6B"/>
    <w:rsid w:val="00EF7DD7"/>
    <w:rsid w:val="00F02683"/>
    <w:rsid w:val="00F06F62"/>
    <w:rsid w:val="00F10227"/>
    <w:rsid w:val="00F156C6"/>
    <w:rsid w:val="00F20B35"/>
    <w:rsid w:val="00F2609B"/>
    <w:rsid w:val="00F31FDE"/>
    <w:rsid w:val="00F33E32"/>
    <w:rsid w:val="00F352CD"/>
    <w:rsid w:val="00F353CB"/>
    <w:rsid w:val="00F41B60"/>
    <w:rsid w:val="00F42D7C"/>
    <w:rsid w:val="00F51C26"/>
    <w:rsid w:val="00F54BBD"/>
    <w:rsid w:val="00F561A3"/>
    <w:rsid w:val="00F67C3E"/>
    <w:rsid w:val="00F720AB"/>
    <w:rsid w:val="00F7216A"/>
    <w:rsid w:val="00F72E86"/>
    <w:rsid w:val="00F740FF"/>
    <w:rsid w:val="00F905A0"/>
    <w:rsid w:val="00FA3A84"/>
    <w:rsid w:val="00FB054B"/>
    <w:rsid w:val="00FC0268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ACD2"/>
  <w15:chartTrackingRefBased/>
  <w15:docId w15:val="{5CC5D919-B922-44CB-9486-6487B953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37"/>
  </w:style>
  <w:style w:type="paragraph" w:styleId="Footer">
    <w:name w:val="footer"/>
    <w:basedOn w:val="Normal"/>
    <w:link w:val="FooterChar"/>
    <w:uiPriority w:val="99"/>
    <w:unhideWhenUsed/>
    <w:rsid w:val="00A3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37"/>
  </w:style>
  <w:style w:type="character" w:styleId="CommentReference">
    <w:name w:val="annotation reference"/>
    <w:basedOn w:val="DefaultParagraphFont"/>
    <w:uiPriority w:val="99"/>
    <w:semiHidden/>
    <w:unhideWhenUsed/>
    <w:rsid w:val="00D55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C8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905A0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05A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3D06-48D8-4BD4-AF06-12AF9AF3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Dauda Bappa</cp:lastModifiedBy>
  <cp:revision>2</cp:revision>
  <dcterms:created xsi:type="dcterms:W3CDTF">2019-05-13T15:46:00Z</dcterms:created>
  <dcterms:modified xsi:type="dcterms:W3CDTF">2019-05-13T15:46:00Z</dcterms:modified>
</cp:coreProperties>
</file>